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72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 w:ascii="Times New Roman" w:hAnsi="Times New Roman" w:eastAsia="方正楷体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3"/>
          <w:szCs w:val="33"/>
          <w:lang w:val="en-US" w:eastAsia="zh-CN"/>
        </w:rPr>
        <w:t>附件3</w:t>
      </w:r>
    </w:p>
    <w:p w14:paraId="1A05D3FF">
      <w:pPr>
        <w:pStyle w:val="6"/>
        <w:rPr>
          <w:rFonts w:hint="default"/>
          <w:lang w:val="en-US" w:eastAsia="zh-CN"/>
        </w:rPr>
      </w:pPr>
    </w:p>
    <w:p w14:paraId="5A437F5C">
      <w:pPr>
        <w:tabs>
          <w:tab w:val="left" w:pos="5685"/>
        </w:tabs>
        <w:spacing w:afterLines="100" w:line="59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四川爱众低碳科技发展有限公司简介</w:t>
      </w:r>
    </w:p>
    <w:p w14:paraId="5DFB9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四川爱众低碳科技发展有限公司于2022年12月23日成立，注册资本金9500万，下设行政人事部、工程管理部、招商运营部、财务管理部、碳市场开发部、综合能源服务部六个部门，现有员工22人。</w:t>
      </w:r>
    </w:p>
    <w:p w14:paraId="45046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目前公司正在实施爱众·低碳生活荟项目，该项目是由四川爱众发展集团有限公司（以下简称“爱众集团”）在“双碳”和“一刻钟便民生活圈”政策背景下，提出打造“便民生活服务中心+综合能源服务站”的低碳化建筑综合体的解决思路，致力于推动构建新能源汽车生活生态圈，打造新型消费场景，形成“产业+资本”的联动，借助低碳荟商业模式做大实业资产，最终借助上市平台来实现资产证券化。</w:t>
      </w:r>
      <w:r>
        <w:rPr>
          <w:rFonts w:hint="default"/>
          <w:lang w:val="en-US" w:eastAsia="zh-CN"/>
        </w:rPr>
        <w:br w:type="page"/>
      </w:r>
    </w:p>
    <w:p w14:paraId="67231B46">
      <w:pPr>
        <w:keepNext w:val="0"/>
        <w:keepLines w:val="0"/>
        <w:pageBreakBefore w:val="0"/>
        <w:widowControl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33" w:afterLines="100"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四川爱众云鲲新能源有限公司简介</w:t>
      </w:r>
    </w:p>
    <w:p w14:paraId="42129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四川爱众云鲲新能源有限公司（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以下简称：“公司”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）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前身为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广安国充新能源发展有限公司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自2019年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成立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以来，便致力于新能源领域的探索与发展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，2022年正式成为爱众集团的全资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控股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子公司，现注册资本1.2亿元，业务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网络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覆盖重庆、成都、南充、达州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等川渝重要城市，以及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新疆、江西重点区域。</w:t>
      </w:r>
    </w:p>
    <w:p w14:paraId="20CFA9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作为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爱众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集团交通新能源战略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板块的重要力量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，公司通过构建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充储一体化+场景化服务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”的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双轮驱动发展模式，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推动新能源产业的升级与发展。重点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聚焦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三大核心业务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一是以智能充电桩网络为核心，提供便捷、高效的公共快充服务，满足日益增长的电动汽车充电需求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现已建成超140座公共快速充电站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；二是为企业提供定制化的工商业储能方案，助力企业实现能源的高效利用与成本控制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目前已签约规模超过46MWh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；三是重卡充换电等交通能源新基建，针对重型卡车等交通领域的能源需求，提供全面的充换电服务与支持。</w:t>
      </w:r>
    </w:p>
    <w:p w14:paraId="2CDA94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公司严格遵循现代企业管理制度，设立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支部委员会、董事会、总办会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，下设综合管理部、财务管理部、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市场运营部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、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工程管理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部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投资发展部五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大核心部门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同时，</w:t>
      </w:r>
      <w:r>
        <w:rPr>
          <w:rFonts w:hint="default" w:ascii="Times New Roman" w:hAnsi="Times New Roman" w:eastAsia="方正仿宋_GBK" w:cs="方正仿宋_GBK"/>
          <w:sz w:val="33"/>
          <w:szCs w:val="33"/>
        </w:rPr>
        <w:t>积极拓展子公司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业务</w:t>
      </w:r>
      <w:r>
        <w:rPr>
          <w:rFonts w:hint="default" w:ascii="Times New Roman" w:hAnsi="Times New Roman" w:eastAsia="方正仿宋_GBK" w:cs="方正仿宋_GBK"/>
          <w:sz w:val="33"/>
          <w:szCs w:val="33"/>
        </w:rPr>
        <w:t>布局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现有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全资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公司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（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家）：成都、重庆、江西、新疆云鲲新能源公司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重庆云泽公司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，深度拓展区域化公共快充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重卡充换电基础设施建设，形成跨省域能源服务网络。控股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公司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（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家）：绵阳云鲲新能源专注全国重卡充电站市场，云鲲数字能源深耕川渝储能项目。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参股公司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（3家）：通过参股智慧新能源（电动车辆充电）、云泽供应链（新能源物流配套）、蓉安鲲汽车租赁（绿色出行服务），构建起覆盖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乘用车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商用车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电动车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的全场景服务体系。</w:t>
      </w:r>
    </w:p>
    <w:p w14:paraId="707CC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未来，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公司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将不断深化“投资建设—智慧运营”全产业链布局，加速推进光储充一体化示范项目落地，致力于成为西南地区具有影响力的新能源综合服务提供商，为国家双碳战略目标的实现贡献力量。</w:t>
      </w:r>
    </w:p>
    <w:p w14:paraId="31B77D3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480" w:firstLineChars="200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666666"/>
          <w:sz w:val="24"/>
          <w:szCs w:val="24"/>
        </w:rPr>
      </w:pPr>
      <w:bookmarkStart w:id="0" w:name="_GoBack"/>
      <w:bookmarkEnd w:id="0"/>
    </w:p>
    <w:p w14:paraId="7A4DDB3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666666"/>
          <w:sz w:val="24"/>
          <w:szCs w:val="24"/>
        </w:rPr>
      </w:pPr>
    </w:p>
    <w:p w14:paraId="5C92CCDA">
      <w:pPr>
        <w:tabs>
          <w:tab w:val="left" w:pos="5685"/>
        </w:tabs>
        <w:spacing w:afterLines="100" w:line="590" w:lineRule="exact"/>
        <w:jc w:val="left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</w:p>
    <w:p w14:paraId="338FB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textAlignment w:val="auto"/>
        <w:rPr>
          <w:rFonts w:ascii="Times New Roman" w:hAnsi="Times New Roman" w:eastAsia="方正小标宋_GBK" w:cs="Times New Roman"/>
          <w:sz w:val="44"/>
        </w:rPr>
        <w:sectPr>
          <w:headerReference r:id="rId3" w:type="default"/>
          <w:footerReference r:id="rId4" w:type="default"/>
          <w:pgSz w:w="11906" w:h="16838"/>
          <w:pgMar w:top="2041" w:right="1531" w:bottom="1701" w:left="1531" w:header="851" w:footer="992" w:gutter="0"/>
          <w:cols w:space="0" w:num="1"/>
          <w:rtlGutter w:val="0"/>
          <w:docGrid w:type="lines" w:linePitch="332" w:charSpace="0"/>
        </w:sectPr>
      </w:pPr>
    </w:p>
    <w:p w14:paraId="56D5F74E">
      <w:pPr>
        <w:pStyle w:val="31"/>
        <w:rPr>
          <w:rFonts w:hint="eastAsia" w:ascii="方正小标宋_GBK" w:hAnsi="方正小标宋_GBK" w:eastAsia="方正小标宋_GBK" w:cs="方正小标宋_GBK"/>
          <w:b w:val="0"/>
          <w:bCs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四川广安爱众建设工程有限公司简介</w:t>
      </w:r>
    </w:p>
    <w:p w14:paraId="1DC0D875"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 w14:paraId="4D01484C">
      <w:pPr>
        <w:pStyle w:val="32"/>
        <w:bidi w:val="0"/>
        <w:jc w:val="both"/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四川广安爱众建设工程有限公司是四川爱众发展集团有限公司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下属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控股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子公司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，成立于2001年6月，注册资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本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11265.04万元，其中爱众集团公司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出资11261.34万元，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持股</w:t>
      </w:r>
      <w:r>
        <w:rPr>
          <w:rFonts w:hint="default" w:ascii="Times New Roman" w:hAnsi="Times New Roman" w:eastAsia="方正仿宋_GBK" w:cs="Times New Roman"/>
          <w:sz w:val="33"/>
          <w:szCs w:val="33"/>
          <w:lang w:val="zh-CN"/>
        </w:rPr>
        <w:t>99.96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%，2名自然人股东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（公司在编员工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李朝莉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胡安元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出资3.7万元，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持股0.0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%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。公司目前拥有市政公用工程施工总承包一级、房屋建筑工程施工总承包二级、水利水电工程施工总承包二级、建筑装饰装修工程专业承包二级、环保工程专业承包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级、河湖整治工程专业承包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级资质、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施工劳务（不分等级）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。</w:t>
      </w:r>
    </w:p>
    <w:p w14:paraId="3CEB4FAA">
      <w:pPr>
        <w:pStyle w:val="32"/>
        <w:bidi w:val="0"/>
        <w:jc w:val="both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企业经营范围：房屋建筑工程；土石方工程；市政公用工程；建筑装修装饰工程；水利水电工程；堤防工程；环保工程；体育场地设施工程；销售：建筑材料、装饰材料、化工（不含危险化学品），五金交电、日用百货。（依法须经批准的项目，经相关部门批准后方可开展经营活动）。</w:t>
      </w:r>
    </w:p>
    <w:p w14:paraId="272CB877">
      <w:pPr>
        <w:pStyle w:val="32"/>
        <w:bidi w:val="0"/>
        <w:jc w:val="both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公司按照现代企业规范管理要求，完善了法人治理结构，建立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健全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了现代企业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管理体系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。爱众建设在编员工3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人，平均年龄约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岁。具有大学本科及以上学历共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人，占在职人员的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75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%；具有中高级职称1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人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仅限于工程类专业），占比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38.24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%，其中高级职称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人、中级职称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人。一级建造师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人，二级建造师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人。</w:t>
      </w:r>
    </w:p>
    <w:p w14:paraId="41737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sectPr>
          <w:pgSz w:w="11906" w:h="16838"/>
          <w:pgMar w:top="2041" w:right="1531" w:bottom="1701" w:left="1531" w:header="851" w:footer="992" w:gutter="0"/>
          <w:cols w:space="0" w:num="1"/>
          <w:rtlGutter w:val="0"/>
          <w:docGrid w:type="lines" w:linePitch="332" w:charSpace="0"/>
        </w:sect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多年来，公司始终秉承“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质量求生存、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信誉求发展、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管理求效益、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诚信拓市场”的经营理念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崇尚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“敬业、诚信、严谨、创新、务实”的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价值观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，恪守“安全为根、质量为本”的经营信条，在工程施工过程中不断加强管理，丰富施工管理经验，完善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各项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管理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体系，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树立了良好的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形象，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取得了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较好的经济效益和社会信誉。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近年来，公司共计实施工程项目约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50余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个，实现产值近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0亿，实现一次性交验工程合格率达标100%，安全达标率100%，合同履约率100%。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公司先后取得2022年度广安市工人先锋号、2021年广安区工人先锋号、爱众集团安全生产先进单位、先进基层党组织、爱众集团安康杯安全知识竞赛一等奖等多项荣誉。</w:t>
      </w:r>
    </w:p>
    <w:p w14:paraId="50B2C5A3">
      <w:pPr>
        <w:keepNext w:val="0"/>
        <w:keepLines w:val="0"/>
        <w:pageBreakBefore w:val="0"/>
        <w:widowControl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33" w:afterLines="10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爱众集团官网及公众号</w:t>
      </w:r>
    </w:p>
    <w:p w14:paraId="75FCCDFA">
      <w:pPr>
        <w:keepNext w:val="0"/>
        <w:keepLines w:val="0"/>
        <w:pageBreakBefore w:val="0"/>
        <w:widowControl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left"/>
        <w:textAlignment w:val="auto"/>
        <w:rPr>
          <w:rFonts w:ascii="Times New Roman" w:hAnsi="Times New Roman" w:eastAsia="方正仿宋_GBK" w:cs="Times New Roman"/>
          <w:b/>
          <w:sz w:val="32"/>
          <w:szCs w:val="32"/>
        </w:rPr>
      </w:pPr>
    </w:p>
    <w:p w14:paraId="4FDB5A0A">
      <w:pPr>
        <w:keepNext w:val="0"/>
        <w:keepLines w:val="0"/>
        <w:pageBreakBefore w:val="0"/>
        <w:widowControl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left"/>
        <w:textAlignment w:val="auto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爱众集团官网：http://www.aaa-group.cn/</w:t>
      </w:r>
    </w:p>
    <w:p w14:paraId="4E292FD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/>
          <w:lang w:val="en-US" w:eastAsia="zh-CN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微信公众号：爱众之窗</w:t>
      </w:r>
    </w:p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5BCA2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4858D57F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c7b1vXAQAAsQ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qmZJGXYcJJnMbekxWH3TAR&#10;3bn2hDx7XIiGWtx/SvSjRb3T7sxGmI3dbBx8UPsuL1eqBf7dIWJzuedUYYRFrsnBSWbW09alVfnb&#10;z1nPf9r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nO29b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858D57F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697E3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YTA4YmJiZWYxOWYyNzBkOWE2YTJhNjhhZmE1YmMifQ=="/>
  </w:docVars>
  <w:rsids>
    <w:rsidRoot w:val="009D5EDC"/>
    <w:rsid w:val="00156B3B"/>
    <w:rsid w:val="002B4C95"/>
    <w:rsid w:val="002C0AA9"/>
    <w:rsid w:val="002D38AF"/>
    <w:rsid w:val="00567FA9"/>
    <w:rsid w:val="006638AB"/>
    <w:rsid w:val="00813741"/>
    <w:rsid w:val="00826E37"/>
    <w:rsid w:val="009922E4"/>
    <w:rsid w:val="009D5EDC"/>
    <w:rsid w:val="00AD0F88"/>
    <w:rsid w:val="00AD6F9A"/>
    <w:rsid w:val="00BA1A55"/>
    <w:rsid w:val="00BF43B4"/>
    <w:rsid w:val="00D16D2F"/>
    <w:rsid w:val="00DE580A"/>
    <w:rsid w:val="00DF4A43"/>
    <w:rsid w:val="00E95099"/>
    <w:rsid w:val="00FC3B18"/>
    <w:rsid w:val="011B0745"/>
    <w:rsid w:val="01DB3D75"/>
    <w:rsid w:val="01EB4108"/>
    <w:rsid w:val="020C66EF"/>
    <w:rsid w:val="029307AF"/>
    <w:rsid w:val="02CF7A3A"/>
    <w:rsid w:val="02FC6355"/>
    <w:rsid w:val="0317318F"/>
    <w:rsid w:val="037C4989"/>
    <w:rsid w:val="039E565E"/>
    <w:rsid w:val="03EB1053"/>
    <w:rsid w:val="04B0389B"/>
    <w:rsid w:val="05901E63"/>
    <w:rsid w:val="05A4183F"/>
    <w:rsid w:val="06456265"/>
    <w:rsid w:val="064E6EC7"/>
    <w:rsid w:val="06590509"/>
    <w:rsid w:val="0671705A"/>
    <w:rsid w:val="068F6C93"/>
    <w:rsid w:val="06915006"/>
    <w:rsid w:val="06DD649D"/>
    <w:rsid w:val="07027CB2"/>
    <w:rsid w:val="07186473"/>
    <w:rsid w:val="071F0864"/>
    <w:rsid w:val="073360BD"/>
    <w:rsid w:val="076369A2"/>
    <w:rsid w:val="07CC09EB"/>
    <w:rsid w:val="07E850FA"/>
    <w:rsid w:val="084E1401"/>
    <w:rsid w:val="08514A4D"/>
    <w:rsid w:val="08955281"/>
    <w:rsid w:val="08B66FA6"/>
    <w:rsid w:val="08F024B8"/>
    <w:rsid w:val="09000221"/>
    <w:rsid w:val="090B4B94"/>
    <w:rsid w:val="09A82D92"/>
    <w:rsid w:val="0B1D330C"/>
    <w:rsid w:val="0B8006E6"/>
    <w:rsid w:val="0BD240F7"/>
    <w:rsid w:val="0C375163"/>
    <w:rsid w:val="0C5114BF"/>
    <w:rsid w:val="0C6A2581"/>
    <w:rsid w:val="0CAA3197"/>
    <w:rsid w:val="0CD520F0"/>
    <w:rsid w:val="0D1A3FA7"/>
    <w:rsid w:val="0D3037CB"/>
    <w:rsid w:val="0D9A5BFA"/>
    <w:rsid w:val="0DAD6DA4"/>
    <w:rsid w:val="0E0B1B42"/>
    <w:rsid w:val="0E211365"/>
    <w:rsid w:val="0E6B438E"/>
    <w:rsid w:val="0FBD538B"/>
    <w:rsid w:val="0FFF7484"/>
    <w:rsid w:val="1009571F"/>
    <w:rsid w:val="10136FFC"/>
    <w:rsid w:val="108005C5"/>
    <w:rsid w:val="1088747A"/>
    <w:rsid w:val="10C77FA2"/>
    <w:rsid w:val="11B60016"/>
    <w:rsid w:val="11F8418B"/>
    <w:rsid w:val="12026A48"/>
    <w:rsid w:val="12137217"/>
    <w:rsid w:val="122067AB"/>
    <w:rsid w:val="12502219"/>
    <w:rsid w:val="12AA7937"/>
    <w:rsid w:val="136A6362"/>
    <w:rsid w:val="139A1F90"/>
    <w:rsid w:val="139B3F85"/>
    <w:rsid w:val="140B00ED"/>
    <w:rsid w:val="1424570B"/>
    <w:rsid w:val="1432607A"/>
    <w:rsid w:val="14A81FB3"/>
    <w:rsid w:val="14A8633C"/>
    <w:rsid w:val="14BA1BCC"/>
    <w:rsid w:val="15063063"/>
    <w:rsid w:val="161D68B6"/>
    <w:rsid w:val="163A7468"/>
    <w:rsid w:val="16845A7D"/>
    <w:rsid w:val="16E41182"/>
    <w:rsid w:val="174C3A8E"/>
    <w:rsid w:val="17B46DA6"/>
    <w:rsid w:val="18DC65B5"/>
    <w:rsid w:val="18FB0E5C"/>
    <w:rsid w:val="1A8011C2"/>
    <w:rsid w:val="1A886EFD"/>
    <w:rsid w:val="1ABF7F3C"/>
    <w:rsid w:val="1AE94FB9"/>
    <w:rsid w:val="1B4A3040"/>
    <w:rsid w:val="1B520DB0"/>
    <w:rsid w:val="1BF34341"/>
    <w:rsid w:val="1C1D1DDD"/>
    <w:rsid w:val="1C5D7A0C"/>
    <w:rsid w:val="1CBB4733"/>
    <w:rsid w:val="1CC21F65"/>
    <w:rsid w:val="1D2247B2"/>
    <w:rsid w:val="1D82167E"/>
    <w:rsid w:val="1D862BB4"/>
    <w:rsid w:val="1DDC0E05"/>
    <w:rsid w:val="1DF81110"/>
    <w:rsid w:val="1E1E766F"/>
    <w:rsid w:val="1E374CE3"/>
    <w:rsid w:val="1EC91389"/>
    <w:rsid w:val="1ED03DDD"/>
    <w:rsid w:val="1ED140F2"/>
    <w:rsid w:val="1F737547"/>
    <w:rsid w:val="1F8654CC"/>
    <w:rsid w:val="200A1C59"/>
    <w:rsid w:val="209D2ACD"/>
    <w:rsid w:val="21B445C8"/>
    <w:rsid w:val="21C7477D"/>
    <w:rsid w:val="229D5007"/>
    <w:rsid w:val="22B3482A"/>
    <w:rsid w:val="22C81958"/>
    <w:rsid w:val="232E7609"/>
    <w:rsid w:val="236C6B37"/>
    <w:rsid w:val="23DE58D7"/>
    <w:rsid w:val="253D662D"/>
    <w:rsid w:val="262D48F3"/>
    <w:rsid w:val="263C68E5"/>
    <w:rsid w:val="26485289"/>
    <w:rsid w:val="26F95EE5"/>
    <w:rsid w:val="282B6C11"/>
    <w:rsid w:val="285A74F6"/>
    <w:rsid w:val="28607D4F"/>
    <w:rsid w:val="288051AE"/>
    <w:rsid w:val="290731DA"/>
    <w:rsid w:val="291C47AB"/>
    <w:rsid w:val="297B5976"/>
    <w:rsid w:val="299904E8"/>
    <w:rsid w:val="29B669AE"/>
    <w:rsid w:val="29C15A7E"/>
    <w:rsid w:val="2ABC4498"/>
    <w:rsid w:val="2B770892"/>
    <w:rsid w:val="2BA56CDA"/>
    <w:rsid w:val="2C22032B"/>
    <w:rsid w:val="2C534988"/>
    <w:rsid w:val="2CAD4098"/>
    <w:rsid w:val="2D182D95"/>
    <w:rsid w:val="2D71509F"/>
    <w:rsid w:val="2DE955A4"/>
    <w:rsid w:val="2DFB7085"/>
    <w:rsid w:val="2F1E6506"/>
    <w:rsid w:val="2F34284F"/>
    <w:rsid w:val="2F5219A1"/>
    <w:rsid w:val="2FB120F1"/>
    <w:rsid w:val="2FDC548E"/>
    <w:rsid w:val="3015041B"/>
    <w:rsid w:val="30332B06"/>
    <w:rsid w:val="30466CDD"/>
    <w:rsid w:val="306D4708"/>
    <w:rsid w:val="306E1D90"/>
    <w:rsid w:val="30DF2C8E"/>
    <w:rsid w:val="31232B7B"/>
    <w:rsid w:val="31AF440F"/>
    <w:rsid w:val="31FF6C4B"/>
    <w:rsid w:val="32A95302"/>
    <w:rsid w:val="33220002"/>
    <w:rsid w:val="33743B62"/>
    <w:rsid w:val="33B960C6"/>
    <w:rsid w:val="33CC574C"/>
    <w:rsid w:val="33E354E1"/>
    <w:rsid w:val="344F1ED9"/>
    <w:rsid w:val="345179FF"/>
    <w:rsid w:val="347C5400"/>
    <w:rsid w:val="348F2587"/>
    <w:rsid w:val="34A71D15"/>
    <w:rsid w:val="351D5B33"/>
    <w:rsid w:val="35215623"/>
    <w:rsid w:val="35335357"/>
    <w:rsid w:val="357D7A9F"/>
    <w:rsid w:val="35DA3A24"/>
    <w:rsid w:val="35F745D6"/>
    <w:rsid w:val="361C403D"/>
    <w:rsid w:val="36390BDB"/>
    <w:rsid w:val="366559E4"/>
    <w:rsid w:val="37537F49"/>
    <w:rsid w:val="37AD13F0"/>
    <w:rsid w:val="380E30BE"/>
    <w:rsid w:val="382A2A41"/>
    <w:rsid w:val="38867C98"/>
    <w:rsid w:val="38B60DFD"/>
    <w:rsid w:val="39330C97"/>
    <w:rsid w:val="397C551E"/>
    <w:rsid w:val="39BD78E5"/>
    <w:rsid w:val="39BE5B37"/>
    <w:rsid w:val="39F41558"/>
    <w:rsid w:val="3AC21FEF"/>
    <w:rsid w:val="3AEF7F72"/>
    <w:rsid w:val="3B0B6E7C"/>
    <w:rsid w:val="3B1B2B15"/>
    <w:rsid w:val="3BBC42F8"/>
    <w:rsid w:val="3BDD7DCA"/>
    <w:rsid w:val="3C6A5B02"/>
    <w:rsid w:val="3C925059"/>
    <w:rsid w:val="3CFC3490"/>
    <w:rsid w:val="3D2F28A7"/>
    <w:rsid w:val="3D344362"/>
    <w:rsid w:val="3D5567B2"/>
    <w:rsid w:val="3D583BAC"/>
    <w:rsid w:val="3DBA4DA9"/>
    <w:rsid w:val="3E04462B"/>
    <w:rsid w:val="3E2148E6"/>
    <w:rsid w:val="3E261EFC"/>
    <w:rsid w:val="3EAE05CB"/>
    <w:rsid w:val="3EDF1AF6"/>
    <w:rsid w:val="3FEA0D08"/>
    <w:rsid w:val="40783B92"/>
    <w:rsid w:val="40B977E5"/>
    <w:rsid w:val="40BC08F6"/>
    <w:rsid w:val="40F9784F"/>
    <w:rsid w:val="413606A8"/>
    <w:rsid w:val="414803DC"/>
    <w:rsid w:val="41596145"/>
    <w:rsid w:val="41A24CD4"/>
    <w:rsid w:val="41C537DA"/>
    <w:rsid w:val="420460B1"/>
    <w:rsid w:val="42116A20"/>
    <w:rsid w:val="422D13CB"/>
    <w:rsid w:val="42636FFD"/>
    <w:rsid w:val="42A86578"/>
    <w:rsid w:val="42FF2D1C"/>
    <w:rsid w:val="43005EDA"/>
    <w:rsid w:val="431467C7"/>
    <w:rsid w:val="432804C5"/>
    <w:rsid w:val="43AE27E7"/>
    <w:rsid w:val="43B43B06"/>
    <w:rsid w:val="43C24475"/>
    <w:rsid w:val="43FC3D0F"/>
    <w:rsid w:val="4441183E"/>
    <w:rsid w:val="44C02F32"/>
    <w:rsid w:val="44C77869"/>
    <w:rsid w:val="44DD0291"/>
    <w:rsid w:val="44ED72D0"/>
    <w:rsid w:val="450B1E4C"/>
    <w:rsid w:val="45521829"/>
    <w:rsid w:val="455B5590"/>
    <w:rsid w:val="456B28EB"/>
    <w:rsid w:val="4592083C"/>
    <w:rsid w:val="45B35780"/>
    <w:rsid w:val="45C259EF"/>
    <w:rsid w:val="45F428E0"/>
    <w:rsid w:val="45F66658"/>
    <w:rsid w:val="45F823D0"/>
    <w:rsid w:val="46633CCE"/>
    <w:rsid w:val="46AE0CE1"/>
    <w:rsid w:val="46E76E31"/>
    <w:rsid w:val="4792155C"/>
    <w:rsid w:val="4798605E"/>
    <w:rsid w:val="47B95B8F"/>
    <w:rsid w:val="482A0322"/>
    <w:rsid w:val="484E1712"/>
    <w:rsid w:val="48931F3C"/>
    <w:rsid w:val="489B1FFB"/>
    <w:rsid w:val="48A56114"/>
    <w:rsid w:val="48CB3DCC"/>
    <w:rsid w:val="48DB1B35"/>
    <w:rsid w:val="49316483"/>
    <w:rsid w:val="49C5081B"/>
    <w:rsid w:val="4A463339"/>
    <w:rsid w:val="4A9C2564"/>
    <w:rsid w:val="4AA54A69"/>
    <w:rsid w:val="4AB949FA"/>
    <w:rsid w:val="4AE44CD1"/>
    <w:rsid w:val="4BEF37CF"/>
    <w:rsid w:val="4C04492D"/>
    <w:rsid w:val="4C681932"/>
    <w:rsid w:val="4C940979"/>
    <w:rsid w:val="4CB24246"/>
    <w:rsid w:val="4D636B19"/>
    <w:rsid w:val="4D7277C1"/>
    <w:rsid w:val="4D7C5695"/>
    <w:rsid w:val="4D9C1893"/>
    <w:rsid w:val="4DFE60AA"/>
    <w:rsid w:val="4E047438"/>
    <w:rsid w:val="4E217E31"/>
    <w:rsid w:val="4E630603"/>
    <w:rsid w:val="4EAB0300"/>
    <w:rsid w:val="4EDC1CE6"/>
    <w:rsid w:val="4EF179BD"/>
    <w:rsid w:val="4F621BD9"/>
    <w:rsid w:val="501C6CBB"/>
    <w:rsid w:val="503404A9"/>
    <w:rsid w:val="50720FD1"/>
    <w:rsid w:val="50AB1CCE"/>
    <w:rsid w:val="50ED0658"/>
    <w:rsid w:val="5139389D"/>
    <w:rsid w:val="51583D23"/>
    <w:rsid w:val="51A451BA"/>
    <w:rsid w:val="521659AD"/>
    <w:rsid w:val="522307D5"/>
    <w:rsid w:val="52291B63"/>
    <w:rsid w:val="52691F60"/>
    <w:rsid w:val="52A03BD4"/>
    <w:rsid w:val="52B70F1D"/>
    <w:rsid w:val="53113E0C"/>
    <w:rsid w:val="536C1D08"/>
    <w:rsid w:val="538452A3"/>
    <w:rsid w:val="53854653"/>
    <w:rsid w:val="53B51901"/>
    <w:rsid w:val="549F610D"/>
    <w:rsid w:val="54E12281"/>
    <w:rsid w:val="54F5089F"/>
    <w:rsid w:val="55072D83"/>
    <w:rsid w:val="55374EEC"/>
    <w:rsid w:val="55517407"/>
    <w:rsid w:val="55E9071D"/>
    <w:rsid w:val="56220DA3"/>
    <w:rsid w:val="562C39D0"/>
    <w:rsid w:val="56574EF1"/>
    <w:rsid w:val="573B4E65"/>
    <w:rsid w:val="57680A38"/>
    <w:rsid w:val="57D3554C"/>
    <w:rsid w:val="58705DF6"/>
    <w:rsid w:val="58743095"/>
    <w:rsid w:val="58B86FA2"/>
    <w:rsid w:val="59796F2C"/>
    <w:rsid w:val="59E7658C"/>
    <w:rsid w:val="59EA607C"/>
    <w:rsid w:val="5A166E71"/>
    <w:rsid w:val="5AE91E90"/>
    <w:rsid w:val="5AEE74A6"/>
    <w:rsid w:val="5B403EDB"/>
    <w:rsid w:val="5B6742B4"/>
    <w:rsid w:val="5BF24AAD"/>
    <w:rsid w:val="5C853E3A"/>
    <w:rsid w:val="5C8A1451"/>
    <w:rsid w:val="5D244048"/>
    <w:rsid w:val="5D5F468B"/>
    <w:rsid w:val="5D610403"/>
    <w:rsid w:val="5DB26EB1"/>
    <w:rsid w:val="5E2F22B0"/>
    <w:rsid w:val="5E3D49CC"/>
    <w:rsid w:val="5E8545C5"/>
    <w:rsid w:val="5ED15115"/>
    <w:rsid w:val="5F7206A6"/>
    <w:rsid w:val="5F7B2813"/>
    <w:rsid w:val="60964868"/>
    <w:rsid w:val="60A00A4E"/>
    <w:rsid w:val="610B0DB2"/>
    <w:rsid w:val="614D13CA"/>
    <w:rsid w:val="619C4100"/>
    <w:rsid w:val="623954AB"/>
    <w:rsid w:val="623D01B0"/>
    <w:rsid w:val="62465E1A"/>
    <w:rsid w:val="628726BA"/>
    <w:rsid w:val="62B70BE3"/>
    <w:rsid w:val="62C3746A"/>
    <w:rsid w:val="635246BE"/>
    <w:rsid w:val="636522D0"/>
    <w:rsid w:val="63AB4186"/>
    <w:rsid w:val="642301C1"/>
    <w:rsid w:val="64367104"/>
    <w:rsid w:val="6451494E"/>
    <w:rsid w:val="65717ED6"/>
    <w:rsid w:val="6578453C"/>
    <w:rsid w:val="65B25CA0"/>
    <w:rsid w:val="65C15EE3"/>
    <w:rsid w:val="65C37EAD"/>
    <w:rsid w:val="65FA13F5"/>
    <w:rsid w:val="6605296B"/>
    <w:rsid w:val="661F0E5C"/>
    <w:rsid w:val="66391F1D"/>
    <w:rsid w:val="66884C53"/>
    <w:rsid w:val="66996E60"/>
    <w:rsid w:val="66C35C8B"/>
    <w:rsid w:val="67087B42"/>
    <w:rsid w:val="671309C0"/>
    <w:rsid w:val="6716400D"/>
    <w:rsid w:val="687476C1"/>
    <w:rsid w:val="68977FB2"/>
    <w:rsid w:val="68994EF5"/>
    <w:rsid w:val="68B25FB7"/>
    <w:rsid w:val="691B1DAE"/>
    <w:rsid w:val="6965127B"/>
    <w:rsid w:val="6994390F"/>
    <w:rsid w:val="69C75F09"/>
    <w:rsid w:val="6A86594D"/>
    <w:rsid w:val="6AE508C6"/>
    <w:rsid w:val="6B0B7C00"/>
    <w:rsid w:val="6B7A2C70"/>
    <w:rsid w:val="6B981494"/>
    <w:rsid w:val="6B9876E6"/>
    <w:rsid w:val="6BBF2EC5"/>
    <w:rsid w:val="6BEC358E"/>
    <w:rsid w:val="6BF25268"/>
    <w:rsid w:val="6CDA788A"/>
    <w:rsid w:val="6D225939"/>
    <w:rsid w:val="6D2448C1"/>
    <w:rsid w:val="6D7E46BA"/>
    <w:rsid w:val="6DB66549"/>
    <w:rsid w:val="6E22598D"/>
    <w:rsid w:val="6EB81E4D"/>
    <w:rsid w:val="6EC72090"/>
    <w:rsid w:val="6F377216"/>
    <w:rsid w:val="6F433E0D"/>
    <w:rsid w:val="6F671FA1"/>
    <w:rsid w:val="6FEE1FCA"/>
    <w:rsid w:val="6FFE5171"/>
    <w:rsid w:val="701D01BA"/>
    <w:rsid w:val="7098429C"/>
    <w:rsid w:val="70FC59A2"/>
    <w:rsid w:val="712B4B58"/>
    <w:rsid w:val="714A76D4"/>
    <w:rsid w:val="71630796"/>
    <w:rsid w:val="71F17B50"/>
    <w:rsid w:val="72C847CA"/>
    <w:rsid w:val="72E70F53"/>
    <w:rsid w:val="72FF44EF"/>
    <w:rsid w:val="732F390A"/>
    <w:rsid w:val="73880040"/>
    <w:rsid w:val="73B70925"/>
    <w:rsid w:val="73C87B98"/>
    <w:rsid w:val="745D14CD"/>
    <w:rsid w:val="75883AFB"/>
    <w:rsid w:val="758B3E18"/>
    <w:rsid w:val="75F776FF"/>
    <w:rsid w:val="761D53B8"/>
    <w:rsid w:val="7645046A"/>
    <w:rsid w:val="765E6BE4"/>
    <w:rsid w:val="76A01B45"/>
    <w:rsid w:val="76A809F9"/>
    <w:rsid w:val="77664B3C"/>
    <w:rsid w:val="777F79AC"/>
    <w:rsid w:val="77B75398"/>
    <w:rsid w:val="77BE04D4"/>
    <w:rsid w:val="77C74EAF"/>
    <w:rsid w:val="77D5581E"/>
    <w:rsid w:val="77F006C3"/>
    <w:rsid w:val="7836450F"/>
    <w:rsid w:val="79501600"/>
    <w:rsid w:val="7A380C8F"/>
    <w:rsid w:val="7AAD4830"/>
    <w:rsid w:val="7ABC4A73"/>
    <w:rsid w:val="7AC237AF"/>
    <w:rsid w:val="7B4E1B6F"/>
    <w:rsid w:val="7BA2010D"/>
    <w:rsid w:val="7BA62D4F"/>
    <w:rsid w:val="7BAE6AB2"/>
    <w:rsid w:val="7C1E6C2E"/>
    <w:rsid w:val="7C1F350C"/>
    <w:rsid w:val="7C2154D6"/>
    <w:rsid w:val="7C977546"/>
    <w:rsid w:val="7CFE5817"/>
    <w:rsid w:val="7D7A4E9D"/>
    <w:rsid w:val="7E557124"/>
    <w:rsid w:val="7E5576B9"/>
    <w:rsid w:val="7F0141FC"/>
    <w:rsid w:val="7F3E014D"/>
    <w:rsid w:val="7F9D1317"/>
    <w:rsid w:val="7FA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方正楷体_GBK" w:cs="Times New Roman"/>
      <w:b/>
      <w:bCs/>
      <w:sz w:val="33"/>
      <w:szCs w:val="32"/>
    </w:rPr>
  </w:style>
  <w:style w:type="paragraph" w:styleId="2">
    <w:name w:val="heading 4"/>
    <w:basedOn w:val="3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 w:val="0"/>
      <w:bCs w:val="0"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1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3"/>
      <w:szCs w:val="33"/>
      <w:lang w:val="zh-CN" w:bidi="zh-CN"/>
    </w:rPr>
  </w:style>
  <w:style w:type="paragraph" w:styleId="5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unhideWhenUsed/>
    <w:qFormat/>
    <w:uiPriority w:val="99"/>
    <w:rPr>
      <w:color w:val="0000FF"/>
      <w:u w:val="non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14e"/>
    <w:basedOn w:val="1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/>
      <w:color w:val="000000"/>
      <w:kern w:val="0"/>
      <w:szCs w:val="21"/>
    </w:rPr>
  </w:style>
  <w:style w:type="paragraph" w:customStyle="1" w:styleId="15">
    <w:name w:val="Char"/>
    <w:basedOn w:val="1"/>
    <w:autoRedefine/>
    <w:qFormat/>
    <w:uiPriority w:val="0"/>
    <w:pPr>
      <w:adjustRightInd w:val="0"/>
      <w:spacing w:line="410" w:lineRule="atLeast"/>
      <w:jc w:val="left"/>
      <w:textAlignment w:val="baseline"/>
    </w:pPr>
  </w:style>
  <w:style w:type="character" w:customStyle="1" w:styleId="16">
    <w:name w:val="批注框文本 Char"/>
    <w:basedOn w:val="11"/>
    <w:link w:val="5"/>
    <w:autoRedefine/>
    <w:qFormat/>
    <w:uiPriority w:val="0"/>
    <w:rPr>
      <w:kern w:val="2"/>
      <w:sz w:val="18"/>
      <w:szCs w:val="18"/>
    </w:rPr>
  </w:style>
  <w:style w:type="character" w:customStyle="1" w:styleId="17">
    <w:name w:val="font01"/>
    <w:basedOn w:val="11"/>
    <w:autoRedefine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8">
    <w:name w:val="font71"/>
    <w:basedOn w:val="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61"/>
    <w:basedOn w:val="1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0">
    <w:name w:val="font51"/>
    <w:basedOn w:val="11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1">
    <w:name w:val="font41"/>
    <w:basedOn w:val="1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2">
    <w:name w:val="font11"/>
    <w:basedOn w:val="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3">
    <w:name w:val="正文文本 (2)"/>
    <w:basedOn w:val="1"/>
    <w:autoRedefine/>
    <w:qFormat/>
    <w:uiPriority w:val="0"/>
    <w:pPr>
      <w:shd w:val="clear" w:color="auto" w:fill="FFFFFF"/>
      <w:spacing w:before="1080" w:after="900" w:line="0" w:lineRule="atLeast"/>
      <w:jc w:val="center"/>
    </w:pPr>
    <w:rPr>
      <w:rFonts w:ascii="宋体" w:hAnsi="宋体" w:eastAsia="宋体" w:cs="宋体"/>
      <w:spacing w:val="20"/>
      <w:sz w:val="30"/>
      <w:szCs w:val="30"/>
    </w:rPr>
  </w:style>
  <w:style w:type="character" w:customStyle="1" w:styleId="24">
    <w:name w:val="font31"/>
    <w:basedOn w:val="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21"/>
    <w:basedOn w:val="11"/>
    <w:autoRedefine/>
    <w:qFormat/>
    <w:uiPriority w:val="0"/>
    <w:rPr>
      <w:rFonts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26">
    <w:name w:val="font81"/>
    <w:basedOn w:val="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101"/>
    <w:basedOn w:val="1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8">
    <w:name w:val="font112"/>
    <w:basedOn w:val="1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9">
    <w:name w:val="font12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0">
    <w:name w:val="font11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1">
    <w:name w:val="公文标题"/>
    <w:basedOn w:val="1"/>
    <w:qFormat/>
    <w:uiPriority w:val="0"/>
    <w:pPr>
      <w:widowControl/>
      <w:adjustRightInd w:val="0"/>
      <w:snapToGrid w:val="0"/>
      <w:spacing w:line="700" w:lineRule="exact"/>
      <w:jc w:val="center"/>
      <w:outlineLvl w:val="9"/>
    </w:pPr>
    <w:rPr>
      <w:rFonts w:hint="eastAsia" w:ascii="方正小标宋简体" w:hAnsi="方正小标宋简体" w:eastAsia="方正小标宋简体" w:cs="方正小标宋简体"/>
      <w:color w:val="auto"/>
      <w:kern w:val="0"/>
      <w:sz w:val="44"/>
      <w:szCs w:val="44"/>
    </w:rPr>
  </w:style>
  <w:style w:type="paragraph" w:customStyle="1" w:styleId="32">
    <w:name w:val="公文正文"/>
    <w:basedOn w:val="1"/>
    <w:qFormat/>
    <w:uiPriority w:val="0"/>
    <w:pPr>
      <w:spacing w:line="590" w:lineRule="exact"/>
      <w:ind w:firstLine="880" w:firstLineChars="200"/>
    </w:pPr>
    <w:rPr>
      <w:rFonts w:ascii="Times New Roman" w:hAnsi="Times New Roman" w:eastAsia="方正小标宋_GBK" w:cs="Times New Roman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1369</Words>
  <Characters>1470</Characters>
  <Lines>45</Lines>
  <Paragraphs>26</Paragraphs>
  <TotalTime>0</TotalTime>
  <ScaleCrop>false</ScaleCrop>
  <LinksUpToDate>false</LinksUpToDate>
  <CharactersWithSpaces>1470</CharactersWithSpaces>
  <Application>WPS Office_12.1.0.22529_F1E327BC-269C-435d-A152-05C5408002CA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2023-02-07T03:33:00Z</dcterms:created>
  <dc:creator>Administrator</dc:creator>
  <cp:lastModifiedBy>WPS_1678414499</cp:lastModifiedBy>
  <cp:lastPrinted>2022-06-17T02:38:00Z</cp:lastPrinted>
  <dcterms:modified xsi:type="dcterms:W3CDTF">2025-09-09T02:01:51Z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6F6FCD17A0B841C49B970FAA86BBC1A4_13</vt:lpwstr>
  </property>
  <property fmtid="{D5CDD505-2E9C-101B-9397-08002B2CF9AE}" pid="4" name="KSOTemplateDocerSaveRecord">
    <vt:lpwstr>eyJoZGlkIjoiOGE3YTA4YmJiZWYxOWYyNzBkOWE2YTJhNjhhZmE1YmMiLCJ1c2VySWQiOiIxNDc4OTI4MzEyIn0=</vt:lpwstr>
  </property>
</Properties>
</file>